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kern w:val="0"/>
          <w:sz w:val="32"/>
          <w:szCs w:val="32"/>
        </w:rPr>
      </w:pPr>
      <w:r>
        <w:rPr>
          <w:rFonts w:hint="eastAsia" w:ascii="黑体" w:hAnsi="黑体" w:eastAsia="黑体" w:cs="黑体"/>
          <w:b w:val="0"/>
          <w:bCs/>
          <w:color w:val="000000"/>
          <w:kern w:val="0"/>
          <w:sz w:val="32"/>
          <w:szCs w:val="32"/>
        </w:rPr>
        <w:t>附件1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000000"/>
          <w:kern w:val="0"/>
          <w:sz w:val="44"/>
          <w:szCs w:val="44"/>
        </w:rPr>
      </w:pPr>
      <w:r>
        <w:rPr>
          <w:rFonts w:hint="eastAsia" w:ascii="方正小标宋_GBK" w:hAnsi="方正小标宋_GBK" w:eastAsia="方正小标宋_GBK" w:cs="方正小标宋_GBK"/>
          <w:b w:val="0"/>
          <w:bCs/>
          <w:color w:val="000000"/>
          <w:kern w:val="0"/>
          <w:sz w:val="44"/>
          <w:szCs w:val="44"/>
        </w:rPr>
        <w:t>市场调研项目明细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color w:val="000000"/>
          <w:kern w:val="0"/>
          <w:sz w:val="44"/>
          <w:szCs w:val="44"/>
        </w:rPr>
      </w:pPr>
    </w:p>
    <w:tbl>
      <w:tblPr>
        <w:tblStyle w:val="2"/>
        <w:tblW w:w="861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2"/>
        <w:gridCol w:w="840"/>
        <w:gridCol w:w="71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trPr>
        <w:tc>
          <w:tcPr>
            <w:tcW w:w="612" w:type="dxa"/>
            <w:tcMar>
              <w:top w:w="0" w:type="dxa"/>
              <w:left w:w="108" w:type="dxa"/>
              <w:bottom w:w="0" w:type="dxa"/>
              <w:right w:w="108" w:type="dxa"/>
            </w:tcMar>
            <w:vAlign w:val="center"/>
          </w:tcPr>
          <w:p>
            <w:pPr>
              <w:widowControl/>
              <w:jc w:val="center"/>
              <w:rPr>
                <w:rFonts w:ascii="宋体" w:hAnsi="宋体" w:cs="宋体"/>
                <w:b/>
                <w:kern w:val="0"/>
                <w:sz w:val="24"/>
                <w:szCs w:val="24"/>
              </w:rPr>
            </w:pPr>
            <w:r>
              <w:rPr>
                <w:rFonts w:hint="eastAsia" w:ascii="宋体" w:hAnsi="宋体" w:cs="宋体"/>
                <w:b/>
                <w:color w:val="000000"/>
                <w:kern w:val="0"/>
                <w:sz w:val="24"/>
                <w:szCs w:val="24"/>
              </w:rPr>
              <w:t>序号</w:t>
            </w:r>
          </w:p>
        </w:tc>
        <w:tc>
          <w:tcPr>
            <w:tcW w:w="840" w:type="dxa"/>
            <w:tcMar>
              <w:top w:w="0" w:type="dxa"/>
              <w:left w:w="108" w:type="dxa"/>
              <w:bottom w:w="0" w:type="dxa"/>
              <w:right w:w="108" w:type="dxa"/>
            </w:tcMar>
            <w:vAlign w:val="center"/>
          </w:tcPr>
          <w:p>
            <w:pPr>
              <w:widowControl/>
              <w:jc w:val="center"/>
              <w:rPr>
                <w:rFonts w:ascii="宋体" w:hAnsi="宋体" w:cs="宋体"/>
                <w:b/>
                <w:kern w:val="0"/>
                <w:sz w:val="24"/>
                <w:szCs w:val="24"/>
              </w:rPr>
            </w:pPr>
            <w:r>
              <w:rPr>
                <w:rFonts w:hint="eastAsia" w:ascii="宋体" w:hAnsi="宋体" w:cs="宋体"/>
                <w:b/>
                <w:color w:val="000000"/>
                <w:kern w:val="0"/>
                <w:sz w:val="24"/>
                <w:szCs w:val="24"/>
              </w:rPr>
              <w:t>名称</w:t>
            </w:r>
          </w:p>
        </w:tc>
        <w:tc>
          <w:tcPr>
            <w:tcW w:w="7160" w:type="dxa"/>
            <w:tcMar>
              <w:top w:w="0" w:type="dxa"/>
              <w:left w:w="108" w:type="dxa"/>
              <w:bottom w:w="0" w:type="dxa"/>
              <w:right w:w="108" w:type="dxa"/>
            </w:tcMar>
            <w:vAlign w:val="center"/>
          </w:tcPr>
          <w:p>
            <w:pPr>
              <w:widowControl/>
              <w:jc w:val="center"/>
              <w:rPr>
                <w:rFonts w:ascii="宋体" w:hAnsi="宋体" w:cs="宋体"/>
                <w:b/>
                <w:kern w:val="0"/>
                <w:sz w:val="24"/>
                <w:szCs w:val="24"/>
              </w:rPr>
            </w:pPr>
            <w:r>
              <w:rPr>
                <w:rFonts w:hint="eastAsia" w:ascii="宋体" w:hAnsi="宋体" w:cs="宋体"/>
                <w:b/>
                <w:bCs/>
                <w:kern w:val="0"/>
                <w:sz w:val="24"/>
                <w:szCs w:val="24"/>
              </w:rPr>
              <w:t>技术性能基本要求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0" w:hRule="atLeast"/>
        </w:trPr>
        <w:tc>
          <w:tcPr>
            <w:tcW w:w="612" w:type="dxa"/>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color w:val="000000"/>
                <w:kern w:val="0"/>
                <w:sz w:val="28"/>
                <w:szCs w:val="28"/>
              </w:rPr>
              <w:t>1</w:t>
            </w:r>
          </w:p>
        </w:tc>
        <w:tc>
          <w:tcPr>
            <w:tcW w:w="840" w:type="dxa"/>
            <w:tcMar>
              <w:top w:w="0" w:type="dxa"/>
              <w:left w:w="108" w:type="dxa"/>
              <w:bottom w:w="0" w:type="dxa"/>
              <w:right w:w="108" w:type="dxa"/>
            </w:tcMar>
            <w:vAlign w:val="center"/>
          </w:tcPr>
          <w:p>
            <w:pPr>
              <w:spacing w:line="360" w:lineRule="auto"/>
              <w:jc w:val="center"/>
              <w:rPr>
                <w:rFonts w:hint="eastAsia" w:ascii="宋体" w:hAnsi="宋体" w:eastAsia="宋体" w:cs="宋体"/>
                <w:b/>
                <w:sz w:val="28"/>
                <w:szCs w:val="28"/>
              </w:rPr>
            </w:pPr>
            <w:r>
              <w:rPr>
                <w:rFonts w:hint="eastAsia"/>
                <w:b w:val="0"/>
                <w:bCs/>
                <w:sz w:val="32"/>
                <w:szCs w:val="32"/>
              </w:rPr>
              <w:t>人体成分分析仪</w:t>
            </w:r>
          </w:p>
          <w:p>
            <w:pPr>
              <w:jc w:val="both"/>
              <w:rPr>
                <w:rFonts w:ascii="宋体" w:hAnsi="宋体" w:cs="宋体"/>
                <w:color w:val="FF0000"/>
                <w:szCs w:val="21"/>
              </w:rPr>
            </w:pPr>
          </w:p>
        </w:tc>
        <w:tc>
          <w:tcPr>
            <w:tcW w:w="7160"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sz w:val="28"/>
                <w:szCs w:val="28"/>
              </w:rPr>
              <w:t>测试方法</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五因素生物电阻抗法</w:t>
            </w:r>
            <w:r>
              <w:rPr>
                <w:rFonts w:hint="eastAsia" w:ascii="仿宋_GB2312" w:hAnsi="仿宋_GB2312" w:eastAsia="仿宋_GB2312" w:cs="仿宋_GB2312"/>
                <w:kern w:val="0"/>
                <w:sz w:val="28"/>
                <w:szCs w:val="28"/>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sz w:val="28"/>
                <w:szCs w:val="28"/>
              </w:rPr>
              <w:t>补偿系数</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身高、体重、年龄、性别、阻抗</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3、检测频率：</w:t>
            </w:r>
            <w:r>
              <w:rPr>
                <w:rFonts w:hint="eastAsia" w:ascii="仿宋_GB2312" w:hAnsi="仿宋_GB2312" w:eastAsia="仿宋_GB2312" w:cs="仿宋_GB2312"/>
                <w:sz w:val="28"/>
                <w:szCs w:val="28"/>
              </w:rPr>
              <w:t>5, 50, 250 kHz</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4、检测项目：</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4.1、</w:t>
            </w:r>
            <w:r>
              <w:rPr>
                <w:rFonts w:hint="eastAsia" w:ascii="仿宋_GB2312" w:hAnsi="仿宋_GB2312" w:eastAsia="仿宋_GB2312" w:cs="仿宋_GB2312"/>
                <w:b/>
                <w:sz w:val="28"/>
                <w:szCs w:val="28"/>
              </w:rPr>
              <w:t>成人测量：</w:t>
            </w:r>
            <w:r>
              <w:rPr>
                <w:rFonts w:hint="eastAsia" w:ascii="仿宋_GB2312" w:hAnsi="仿宋_GB2312" w:eastAsia="仿宋_GB2312" w:cs="仿宋_GB2312"/>
                <w:sz w:val="28"/>
                <w:szCs w:val="28"/>
              </w:rPr>
              <w:t>体重、标准体重、去脂体重、身体水分、细胞内水分、细胞外水分、细胞外水分比、蛋白质、无机盐、体脂肪量、肌肉量、身体质量指数（BMI）、体脂肪率、体型判定、节段肌肉评估(上肢、下肢、躯干)、调节目标(体脂肪量调节值、肌肉量调节值、体重调节值)、腰臀比、基础代谢量、总能量消耗、阻抗、身体年龄、人体成分比例、血压(与本公司血压计相结合)</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kern w:val="0"/>
                <w:sz w:val="28"/>
                <w:szCs w:val="28"/>
              </w:rPr>
              <w:t>4.2、</w:t>
            </w:r>
            <w:r>
              <w:rPr>
                <w:rFonts w:hint="eastAsia" w:ascii="仿宋_GB2312" w:hAnsi="仿宋_GB2312" w:eastAsia="仿宋_GB2312" w:cs="仿宋_GB2312"/>
                <w:b/>
                <w:sz w:val="28"/>
                <w:szCs w:val="28"/>
              </w:rPr>
              <w:t>儿童测量：</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体重、身体水分、蛋白质、无机质、体脂肪量、肌肉量、营养评估、体型判定、肥胖评价(体重、人体脂肪量、肌肉量、人体脂肪率、身体质量指数（BMI）、肥胖度)、各部位发达程度评价、儿童成长曲线、阻抗</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r>
              <w:rPr>
                <w:rFonts w:hint="eastAsia" w:ascii="仿宋_GB2312" w:hAnsi="仿宋_GB2312" w:eastAsia="仿宋_GB2312" w:cs="仿宋_GB2312"/>
                <w:sz w:val="28"/>
                <w:szCs w:val="28"/>
              </w:rPr>
              <w:t>测量范围：100-950</w:t>
            </w:r>
            <w:r>
              <w:rPr>
                <w:rFonts w:hint="eastAsia" w:ascii="仿宋_GB2312" w:hAnsi="仿宋_GB2312" w:eastAsia="仿宋_GB2312" w:cs="仿宋_GB2312"/>
                <w:kern w:val="0"/>
                <w:sz w:val="28"/>
                <w:szCs w:val="28"/>
              </w:rPr>
              <w:t>Ω</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sz w:val="28"/>
                <w:szCs w:val="28"/>
              </w:rPr>
              <w:t>测试时间：1分钟以内</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r>
              <w:rPr>
                <w:rFonts w:hint="eastAsia" w:ascii="仿宋_GB2312" w:hAnsi="仿宋_GB2312" w:eastAsia="仿宋_GB2312" w:cs="仿宋_GB2312"/>
                <w:sz w:val="28"/>
                <w:szCs w:val="28"/>
              </w:rPr>
              <w:t>开机时间：少于30秒</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r>
              <w:rPr>
                <w:rFonts w:hint="eastAsia" w:ascii="仿宋_GB2312" w:hAnsi="仿宋_GB2312" w:eastAsia="仿宋_GB2312" w:cs="仿宋_GB2312"/>
                <w:sz w:val="28"/>
                <w:szCs w:val="28"/>
              </w:rPr>
              <w:t>测量电流：约500μA以内</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r>
              <w:rPr>
                <w:rFonts w:hint="eastAsia" w:ascii="仿宋_GB2312" w:hAnsi="仿宋_GB2312" w:eastAsia="仿宋_GB2312" w:cs="仿宋_GB2312"/>
                <w:sz w:val="28"/>
                <w:szCs w:val="28"/>
              </w:rPr>
              <w:t>显    示</w:t>
            </w:r>
            <w:r>
              <w:rPr>
                <w:rFonts w:hint="eastAsia" w:ascii="仿宋_GB2312" w:hAnsi="仿宋_GB2312" w:eastAsia="仿宋_GB2312" w:cs="仿宋_GB2312"/>
                <w:kern w:val="0"/>
                <w:sz w:val="28"/>
                <w:szCs w:val="28"/>
              </w:rPr>
              <w:t>：640×480像素触摸屏</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10、数据输入：键盘、触摸屏幕、计算机远程输入、输入中文姓名</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r>
              <w:rPr>
                <w:rFonts w:hint="eastAsia" w:ascii="仿宋_GB2312" w:hAnsi="仿宋_GB2312" w:eastAsia="仿宋_GB2312" w:cs="仿宋_GB2312"/>
                <w:sz w:val="28"/>
                <w:szCs w:val="28"/>
              </w:rPr>
              <w:t>语音互动：</w:t>
            </w:r>
            <w:r>
              <w:rPr>
                <w:rFonts w:hint="eastAsia" w:ascii="仿宋_GB2312" w:hAnsi="仿宋_GB2312" w:eastAsia="仿宋_GB2312" w:cs="仿宋_GB2312"/>
                <w:kern w:val="0"/>
                <w:sz w:val="28"/>
                <w:szCs w:val="28"/>
              </w:rPr>
              <w:t>人机对话，中文语音提示</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r>
              <w:rPr>
                <w:rFonts w:hint="eastAsia" w:ascii="仿宋_GB2312" w:hAnsi="仿宋_GB2312" w:eastAsia="仿宋_GB2312" w:cs="仿宋_GB2312"/>
                <w:sz w:val="28"/>
                <w:szCs w:val="28"/>
              </w:rPr>
              <w:t>衣物重量</w:t>
            </w:r>
            <w:r>
              <w:rPr>
                <w:rFonts w:hint="eastAsia" w:ascii="仿宋_GB2312" w:hAnsi="仿宋_GB2312" w:eastAsia="仿宋_GB2312" w:cs="仿宋_GB2312"/>
                <w:kern w:val="0"/>
                <w:sz w:val="28"/>
                <w:szCs w:val="28"/>
              </w:rPr>
              <w:t>：补偿因衣服造成的重量</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13、测量</w:t>
            </w:r>
            <w:r>
              <w:rPr>
                <w:rFonts w:hint="eastAsia" w:ascii="仿宋_GB2312" w:hAnsi="仿宋_GB2312" w:eastAsia="仿宋_GB2312" w:cs="仿宋_GB2312"/>
                <w:sz w:val="28"/>
                <w:szCs w:val="28"/>
              </w:rPr>
              <w:t>电极</w:t>
            </w:r>
            <w:r>
              <w:rPr>
                <w:rFonts w:hint="eastAsia" w:ascii="仿宋_GB2312" w:hAnsi="仿宋_GB2312" w:eastAsia="仿宋_GB2312" w:cs="仿宋_GB2312"/>
                <w:kern w:val="0"/>
                <w:sz w:val="28"/>
                <w:szCs w:val="28"/>
              </w:rPr>
              <w:t>；8-12触点电极，可使用脚踝电极，穿袜子也可测试</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r>
              <w:rPr>
                <w:rFonts w:hint="eastAsia" w:ascii="仿宋_GB2312" w:hAnsi="仿宋_GB2312" w:eastAsia="仿宋_GB2312" w:cs="仿宋_GB2312"/>
                <w:sz w:val="28"/>
                <w:szCs w:val="28"/>
              </w:rPr>
              <w:t>打印报告：</w:t>
            </w:r>
            <w:r>
              <w:rPr>
                <w:rFonts w:hint="eastAsia" w:ascii="仿宋_GB2312" w:hAnsi="仿宋_GB2312" w:eastAsia="仿宋_GB2312" w:cs="仿宋_GB2312"/>
                <w:kern w:val="0"/>
                <w:sz w:val="28"/>
                <w:szCs w:val="28"/>
              </w:rPr>
              <w:t>成人专用报告、儿童专用报告、A4纸报告，需提供报告纸样式</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r>
              <w:rPr>
                <w:rFonts w:hint="eastAsia" w:ascii="仿宋_GB2312" w:hAnsi="仿宋_GB2312" w:eastAsia="仿宋_GB2312" w:cs="仿宋_GB2312"/>
                <w:sz w:val="28"/>
                <w:szCs w:val="28"/>
              </w:rPr>
              <w:t>打印标识：</w:t>
            </w:r>
            <w:r>
              <w:rPr>
                <w:rFonts w:hint="eastAsia" w:ascii="仿宋_GB2312" w:hAnsi="仿宋_GB2312" w:eastAsia="仿宋_GB2312" w:cs="仿宋_GB2312"/>
                <w:kern w:val="0"/>
                <w:sz w:val="28"/>
                <w:szCs w:val="28"/>
              </w:rPr>
              <w:t>制作测试单位个性化的标识，可以和结果一起打印在结果表格上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16、数据传输：RS 232C（9针系列）端口、USB端子</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17、打印装置：IEEE 1284（25针并行）端口、</w:t>
            </w:r>
            <w:r>
              <w:rPr>
                <w:rFonts w:hint="eastAsia" w:ascii="仿宋_GB2312" w:hAnsi="仿宋_GB2312" w:eastAsia="仿宋_GB2312" w:cs="仿宋_GB2312"/>
                <w:sz w:val="28"/>
                <w:szCs w:val="28"/>
              </w:rPr>
              <w:t>USB端口</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18、身高范围：</w:t>
            </w:r>
            <w:r>
              <w:rPr>
                <w:rFonts w:hint="eastAsia" w:ascii="仿宋_GB2312" w:hAnsi="仿宋_GB2312" w:eastAsia="仿宋_GB2312" w:cs="仿宋_GB2312"/>
                <w:sz w:val="28"/>
                <w:szCs w:val="28"/>
              </w:rPr>
              <w:t>80~200cm</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19、体重范围：</w:t>
            </w:r>
            <w:r>
              <w:rPr>
                <w:rFonts w:hint="eastAsia" w:ascii="仿宋_GB2312" w:hAnsi="仿宋_GB2312" w:eastAsia="仿宋_GB2312" w:cs="仿宋_GB2312"/>
                <w:sz w:val="28"/>
                <w:szCs w:val="28"/>
              </w:rPr>
              <w:t>10~250kg</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20、年龄范围：</w:t>
            </w:r>
            <w:r>
              <w:rPr>
                <w:rFonts w:hint="eastAsia" w:ascii="仿宋_GB2312" w:hAnsi="仿宋_GB2312" w:eastAsia="仿宋_GB2312" w:cs="仿宋_GB2312"/>
                <w:sz w:val="28"/>
                <w:szCs w:val="28"/>
              </w:rPr>
              <w:t>3~99岁</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color w:val="000000"/>
                <w:sz w:val="28"/>
                <w:szCs w:val="28"/>
                <w:lang w:eastAsia="zh-CN"/>
              </w:rPr>
            </w:pPr>
            <w:r>
              <w:rPr>
                <w:rFonts w:hint="eastAsia" w:ascii="方正小标宋_GBK" w:hAnsi="方正小标宋_GBK" w:eastAsia="方正小标宋_GBK" w:cs="方正小标宋_GBK"/>
                <w:b w:val="0"/>
                <w:bCs/>
                <w:color w:val="000000"/>
                <w:sz w:val="28"/>
                <w:szCs w:val="28"/>
                <w:lang w:eastAsia="zh-CN"/>
              </w:rPr>
              <w:t>一、设备性能参数要求</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1.转矩≥5~80N•cm</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2.坚固钛机身无碳刷微型马达，构造精密，几乎无振动。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★3.具有扭矩过载保护功能。</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4.马达转速：200~40,000转/分；当配备20:1的减速手机时，转速可达10~2,000转/分，适应各种口腔外科治疗精度的需要。</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both"/>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5马达配备LED照明装置，光照强度可调（高/低/关闭）。为手术区域提供了清晰的照明（32000 LUX以上），从而使医生能更快更精确地进行手术。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6.</w:t>
            </w:r>
            <w:r>
              <w:rPr>
                <w:rFonts w:hint="eastAsia" w:ascii="仿宋_GB2312" w:hAnsi="仿宋_GB2312" w:eastAsia="仿宋_GB2312" w:cs="仿宋_GB2312"/>
                <w:b w:val="0"/>
                <w:bCs/>
                <w:color w:val="000000"/>
                <w:sz w:val="28"/>
                <w:szCs w:val="28"/>
              </w:rPr>
              <w:t>标配纯钛机身20：1</w:t>
            </w:r>
            <w:r>
              <w:rPr>
                <w:rFonts w:hint="eastAsia" w:ascii="仿宋_GB2312" w:hAnsi="仿宋_GB2312" w:eastAsia="仿宋_GB2312" w:cs="仿宋_GB2312"/>
                <w:b w:val="0"/>
                <w:bCs/>
                <w:color w:val="000000"/>
                <w:sz w:val="28"/>
                <w:szCs w:val="28"/>
                <w:lang w:eastAsia="zh-CN"/>
              </w:rPr>
              <w:t>减速</w:t>
            </w:r>
            <w:r>
              <w:rPr>
                <w:rFonts w:hint="eastAsia" w:ascii="仿宋_GB2312" w:hAnsi="仿宋_GB2312" w:eastAsia="仿宋_GB2312" w:cs="仿宋_GB2312"/>
                <w:b w:val="0"/>
                <w:bCs/>
                <w:color w:val="000000"/>
                <w:sz w:val="28"/>
                <w:szCs w:val="28"/>
              </w:rPr>
              <w:t>光纤传导种植手机，外冷和内冷双冷却系统，双密封防回吸系统。可选配1：1、1：2的直弯手机及微型手机满足外科等的治疗需求。</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7.具有先进的扭矩校正功能，自动平衡与各种手机连接时的抵抗水平并自动调节手机及马达的运转,从而达到最佳的转矩和转速。</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8.超高的稳定性能，功率补偿功能,即使在较低转速范围内遇到阻力时，也会自动调节输出功率保持转速的稳定性，不会因阻力的增加而降低转速。</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9.预设≥ 8套种植系统程序储存，每套系统程序可设置≥ 8个子程序，总计可设置≥64个程序。方便医生使用多个不同的种植系统，也可在手术中进行无极调设。</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10.大液晶屏幕，可同时显示转速/扭矩/水量/减速比/正反转等全部参数，清晰易读。</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11.多功能的防水脚控装置，符合IPX8——手术室使用的医疗脚踏控制装置的最高标准和认证，脚踏控制板完全防水，可水洗。通过脚控装置亦可完成所有操作控制。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12.强力冷却液泵：5档流量调节，可保证其有足够的冷却液输出，不会因供水管的变化而影响正常使用及冷却效果。</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i w:val="0"/>
                <w:iCs/>
                <w:color w:val="000000"/>
                <w:sz w:val="28"/>
                <w:szCs w:val="28"/>
                <w:lang w:val="en-US" w:eastAsia="zh-CN"/>
              </w:rPr>
            </w:pPr>
            <w:r>
              <w:rPr>
                <w:rFonts w:hint="eastAsia" w:ascii="方正小标宋_GBK" w:hAnsi="方正小标宋_GBK" w:eastAsia="方正小标宋_GBK" w:cs="方正小标宋_GBK"/>
                <w:b w:val="0"/>
                <w:bCs/>
                <w:i w:val="0"/>
                <w:iCs/>
                <w:color w:val="000000"/>
                <w:sz w:val="28"/>
                <w:szCs w:val="28"/>
                <w:lang w:eastAsia="zh-CN"/>
              </w:rPr>
              <w:t>二、主要</w:t>
            </w:r>
            <w:r>
              <w:rPr>
                <w:rFonts w:hint="eastAsia" w:ascii="方正小标宋_GBK" w:hAnsi="方正小标宋_GBK" w:eastAsia="方正小标宋_GBK" w:cs="方正小标宋_GBK"/>
                <w:b w:val="0"/>
                <w:bCs/>
                <w:i w:val="0"/>
                <w:iCs/>
                <w:color w:val="000000"/>
                <w:sz w:val="28"/>
                <w:szCs w:val="28"/>
              </w:rPr>
              <w:t>配置</w:t>
            </w:r>
            <w:r>
              <w:rPr>
                <w:rFonts w:hint="eastAsia" w:ascii="方正小标宋_GBK" w:hAnsi="方正小标宋_GBK" w:eastAsia="方正小标宋_GBK" w:cs="方正小标宋_GBK"/>
                <w:b w:val="0"/>
                <w:bCs/>
                <w:i w:val="0"/>
                <w:iCs/>
                <w:color w:val="000000"/>
                <w:sz w:val="28"/>
                <w:szCs w:val="28"/>
                <w:lang w:val="en-US" w:eastAsia="zh-CN"/>
              </w:rPr>
              <w:t>清单</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1.带扭矩校正功能及供水泵的控制主机1台</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2.多功能脚踏控制装置 1套</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3.带导线钛金属带光微型电动马达 1套</w:t>
            </w: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color w:val="FF0000"/>
                <w:szCs w:val="21"/>
              </w:rPr>
            </w:pPr>
            <w:r>
              <w:rPr>
                <w:rFonts w:hint="eastAsia" w:ascii="仿宋_GB2312" w:hAnsi="仿宋_GB2312" w:eastAsia="仿宋_GB2312" w:cs="仿宋_GB2312"/>
                <w:b w:val="0"/>
                <w:bCs/>
                <w:color w:val="000000"/>
                <w:sz w:val="28"/>
                <w:szCs w:val="28"/>
              </w:rPr>
              <w:t>4.光纤减速种植手机</w:t>
            </w:r>
            <w:r>
              <w:rPr>
                <w:rFonts w:hint="eastAsia" w:ascii="仿宋_GB2312" w:hAnsi="仿宋_GB2312" w:eastAsia="仿宋_GB2312" w:cs="仿宋_GB2312"/>
                <w:b w:val="0"/>
                <w:bCs/>
                <w:color w:val="000000"/>
                <w:sz w:val="28"/>
                <w:szCs w:val="28"/>
                <w:lang w:val="en-US" w:eastAsia="zh-CN"/>
              </w:rPr>
              <w:t xml:space="preserve">  2把</w:t>
            </w:r>
          </w:p>
        </w:tc>
      </w:tr>
    </w:tbl>
    <w:p>
      <w:pPr>
        <w:widowControl/>
        <w:spacing w:line="400" w:lineRule="atLeast"/>
        <w:jc w:val="left"/>
        <w:rPr>
          <w:rFonts w:hint="eastAsia" w:ascii="宋体" w:hAnsi="宋体" w:cs="宋体"/>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kern w:val="0"/>
          <w:sz w:val="32"/>
          <w:szCs w:val="32"/>
        </w:rPr>
      </w:pPr>
      <w:bookmarkStart w:id="0" w:name="_GoBack"/>
      <w:bookmarkEnd w:id="0"/>
      <w:r>
        <w:rPr>
          <w:rFonts w:hint="eastAsia" w:ascii="黑体" w:hAnsi="黑体" w:eastAsia="黑体" w:cs="黑体"/>
          <w:b w:val="0"/>
          <w:bCs/>
          <w:color w:val="000000"/>
          <w:kern w:val="0"/>
          <w:sz w:val="32"/>
          <w:szCs w:val="32"/>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报价一览表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color w:val="000000"/>
          <w:kern w:val="0"/>
          <w:sz w:val="44"/>
          <w:szCs w:val="44"/>
        </w:rPr>
      </w:pPr>
    </w:p>
    <w:tbl>
      <w:tblPr>
        <w:tblStyle w:val="2"/>
        <w:tblW w:w="8522" w:type="dxa"/>
        <w:tblInd w:w="0" w:type="dxa"/>
        <w:tblLayout w:type="fixed"/>
        <w:tblCellMar>
          <w:top w:w="0" w:type="dxa"/>
          <w:left w:w="0" w:type="dxa"/>
          <w:bottom w:w="0" w:type="dxa"/>
          <w:right w:w="0" w:type="dxa"/>
        </w:tblCellMar>
      </w:tblPr>
      <w:tblGrid>
        <w:gridCol w:w="521"/>
        <w:gridCol w:w="705"/>
        <w:gridCol w:w="861"/>
        <w:gridCol w:w="617"/>
        <w:gridCol w:w="808"/>
        <w:gridCol w:w="663"/>
        <w:gridCol w:w="936"/>
        <w:gridCol w:w="2123"/>
        <w:gridCol w:w="1288"/>
      </w:tblGrid>
      <w:tr>
        <w:tblPrEx>
          <w:tblCellMar>
            <w:top w:w="0" w:type="dxa"/>
            <w:left w:w="0" w:type="dxa"/>
            <w:bottom w:w="0" w:type="dxa"/>
            <w:right w:w="0" w:type="dxa"/>
          </w:tblCellMar>
        </w:tblPrEx>
        <w:trPr>
          <w:trHeight w:val="735" w:hRule="atLeast"/>
        </w:trPr>
        <w:tc>
          <w:tcPr>
            <w:tcW w:w="5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7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生产</w:t>
            </w:r>
          </w:p>
          <w:p>
            <w:pPr>
              <w:widowControl/>
              <w:spacing w:line="400" w:lineRule="atLeast"/>
              <w:jc w:val="center"/>
              <w:rPr>
                <w:rFonts w:ascii="宋体" w:hAnsi="宋体" w:cs="宋体"/>
                <w:kern w:val="0"/>
                <w:sz w:val="24"/>
              </w:rPr>
            </w:pPr>
            <w:r>
              <w:rPr>
                <w:rFonts w:hint="eastAsia" w:ascii="宋体" w:hAnsi="宋体" w:cs="宋体"/>
                <w:color w:val="000000"/>
                <w:kern w:val="0"/>
                <w:sz w:val="24"/>
              </w:rPr>
              <w:t>厂家</w:t>
            </w:r>
          </w:p>
        </w:tc>
        <w:tc>
          <w:tcPr>
            <w:tcW w:w="6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品牌</w:t>
            </w:r>
          </w:p>
        </w:tc>
        <w:tc>
          <w:tcPr>
            <w:tcW w:w="8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6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9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212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配送企业名称</w:t>
            </w:r>
          </w:p>
        </w:tc>
        <w:tc>
          <w:tcPr>
            <w:tcW w:w="12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330" w:hRule="atLeast"/>
        </w:trPr>
        <w:tc>
          <w:tcPr>
            <w:tcW w:w="52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90" w:hRule="atLeast"/>
        </w:trPr>
        <w:tc>
          <w:tcPr>
            <w:tcW w:w="52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52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bl>
    <w:p>
      <w:pPr>
        <w:keepNext w:val="0"/>
        <w:keepLines w:val="0"/>
        <w:pageBreakBefore w:val="0"/>
        <w:widowControl/>
        <w:kinsoku/>
        <w:wordWrap/>
        <w:overflowPunct/>
        <w:topLinePunct w:val="0"/>
        <w:autoSpaceDE/>
        <w:autoSpaceDN/>
        <w:bidi w:val="0"/>
        <w:adjustRightInd/>
        <w:snapToGrid/>
        <w:spacing w:line="600" w:lineRule="exact"/>
        <w:ind w:firstLine="480"/>
        <w:jc w:val="left"/>
        <w:textAlignment w:val="auto"/>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公司名称：</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代表签字：联系方式：</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日期：</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附件3</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用户情况表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rPr>
      </w:pPr>
    </w:p>
    <w:tbl>
      <w:tblPr>
        <w:tblStyle w:val="2"/>
        <w:tblpPr w:leftFromText="180" w:rightFromText="180" w:vertAnchor="text" w:horzAnchor="page" w:tblpXSpec="center" w:tblpY="63"/>
        <w:tblW w:w="10022" w:type="dxa"/>
        <w:jc w:val="center"/>
        <w:tblLayout w:type="fixed"/>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jc w:val="center"/>
        </w:trPr>
        <w:tc>
          <w:tcPr>
            <w:tcW w:w="9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省外</w:t>
            </w:r>
          </w:p>
          <w:p>
            <w:pPr>
              <w:widowControl/>
              <w:jc w:val="center"/>
              <w:rPr>
                <w:rFonts w:ascii="宋体" w:hAnsi="宋体" w:cs="宋体"/>
                <w:kern w:val="0"/>
                <w:sz w:val="24"/>
              </w:rPr>
            </w:pPr>
            <w:r>
              <w:rPr>
                <w:rFonts w:hint="eastAsia" w:ascii="宋体" w:hAnsi="宋体" w:cs="宋体"/>
                <w:color w:val="000000"/>
                <w:kern w:val="0"/>
                <w:sz w:val="24"/>
              </w:rPr>
              <w:t>用户</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用户</w:t>
            </w:r>
          </w:p>
          <w:p>
            <w:pPr>
              <w:widowControl/>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合同价格或</w:t>
            </w:r>
          </w:p>
          <w:p>
            <w:pPr>
              <w:widowControl/>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使用时间或</w:t>
            </w:r>
          </w:p>
          <w:p>
            <w:pPr>
              <w:widowControl/>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联系人及</w:t>
            </w:r>
          </w:p>
          <w:p>
            <w:pPr>
              <w:widowControl/>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300" w:hRule="atLeast"/>
          <w:jc w:val="center"/>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300" w:hRule="atLeast"/>
          <w:jc w:val="center"/>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300" w:hRule="atLeast"/>
          <w:jc w:val="center"/>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00" w:hRule="atLeast"/>
          <w:jc w:val="center"/>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00" w:hRule="atLeast"/>
          <w:jc w:val="center"/>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r>
      <w:tr>
        <w:tblPrEx>
          <w:tblCellMar>
            <w:top w:w="0" w:type="dxa"/>
            <w:left w:w="0" w:type="dxa"/>
            <w:bottom w:w="0" w:type="dxa"/>
            <w:right w:w="0" w:type="dxa"/>
          </w:tblCellMar>
        </w:tblPrEx>
        <w:trPr>
          <w:trHeight w:val="285" w:hRule="atLeast"/>
          <w:jc w:val="center"/>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left"/>
              <w:rPr>
                <w:rFonts w:ascii="宋体" w:hAnsi="宋体" w:cs="宋体"/>
                <w:kern w:val="0"/>
                <w:sz w:val="24"/>
              </w:rPr>
            </w:pPr>
          </w:p>
        </w:tc>
      </w:tr>
      <w:tr>
        <w:tblPrEx>
          <w:tblCellMar>
            <w:top w:w="0" w:type="dxa"/>
            <w:left w:w="0" w:type="dxa"/>
            <w:bottom w:w="0" w:type="dxa"/>
            <w:right w:w="0" w:type="dxa"/>
          </w:tblCellMar>
        </w:tblPrEx>
        <w:trPr>
          <w:trHeight w:val="105" w:hRule="atLeast"/>
          <w:jc w:val="center"/>
        </w:trPr>
        <w:tc>
          <w:tcPr>
            <w:tcW w:w="9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5" w:lineRule="atLeast"/>
              <w:jc w:val="center"/>
              <w:rPr>
                <w:rFonts w:hint="eastAsia" w:ascii="宋体" w:hAnsi="宋体" w:cs="宋体"/>
                <w:color w:val="000000"/>
                <w:kern w:val="0"/>
                <w:sz w:val="24"/>
              </w:rPr>
            </w:pPr>
            <w:r>
              <w:rPr>
                <w:rFonts w:hint="eastAsia" w:ascii="宋体" w:hAnsi="宋体" w:cs="宋体"/>
                <w:color w:val="000000"/>
                <w:kern w:val="0"/>
                <w:sz w:val="24"/>
              </w:rPr>
              <w:t>省内</w:t>
            </w:r>
          </w:p>
          <w:p>
            <w:pPr>
              <w:widowControl/>
              <w:spacing w:line="105" w:lineRule="atLeast"/>
              <w:jc w:val="center"/>
              <w:rPr>
                <w:rFonts w:ascii="宋体" w:hAnsi="宋体" w:cs="宋体"/>
                <w:kern w:val="0"/>
                <w:sz w:val="24"/>
              </w:rPr>
            </w:pPr>
            <w:r>
              <w:rPr>
                <w:rFonts w:hint="eastAsia" w:ascii="宋体" w:hAnsi="宋体" w:cs="宋体"/>
                <w:color w:val="000000"/>
                <w:kern w:val="0"/>
                <w:sz w:val="24"/>
              </w:rPr>
              <w:t>用户</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jc w:val="center"/>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jc w:val="center"/>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jc w:val="center"/>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jc w:val="center"/>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jc w:val="center"/>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bl>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说明：1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表中产品为近三年销售，用户仍在使用的货物；</w:t>
      </w:r>
    </w:p>
    <w:p>
      <w:pPr>
        <w:keepNext w:val="0"/>
        <w:keepLines w:val="0"/>
        <w:pageBreakBefore w:val="0"/>
        <w:widowControl/>
        <w:kinsoku/>
        <w:wordWrap/>
        <w:overflowPunct/>
        <w:topLinePunct w:val="0"/>
        <w:autoSpaceDE/>
        <w:autoSpaceDN/>
        <w:bidi w:val="0"/>
        <w:adjustRightInd/>
        <w:snapToGrid/>
        <w:spacing w:line="600" w:lineRule="exact"/>
        <w:ind w:firstLine="840" w:firstLineChars="3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只填写与本次市场调研产品一致或相当的规格型号。</w:t>
      </w:r>
    </w:p>
    <w:p>
      <w:pPr>
        <w:keepNext w:val="0"/>
        <w:keepLines w:val="0"/>
        <w:pageBreakBefore w:val="0"/>
        <w:widowControl/>
        <w:kinsoku/>
        <w:wordWrap/>
        <w:overflowPunct/>
        <w:topLinePunct w:val="0"/>
        <w:autoSpaceDE/>
        <w:autoSpaceDN/>
        <w:bidi w:val="0"/>
        <w:adjustRightInd/>
        <w:snapToGrid/>
        <w:spacing w:line="600" w:lineRule="exact"/>
        <w:ind w:firstLine="840" w:firstLineChars="3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需附近三年销售合同价格或中标价格等佐证复印材料</w:t>
      </w:r>
      <w:r>
        <w:rPr>
          <w:rFonts w:hint="eastAsia" w:ascii="仿宋_GB2312" w:hAnsi="仿宋_GB2312" w:eastAsia="仿宋_GB2312" w:cs="仿宋_GB2312"/>
          <w:color w:val="000000"/>
          <w:kern w:val="0"/>
          <w:sz w:val="28"/>
          <w:szCs w:val="2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F0D70"/>
    <w:rsid w:val="1D7022D7"/>
    <w:rsid w:val="3EE82F6E"/>
    <w:rsid w:val="46BE317D"/>
    <w:rsid w:val="65096EBB"/>
    <w:rsid w:val="7FEF0D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2020-07-15T02:23:00Z</dcterms:created>
  <dc:creator>Administrator</dc:creator>
  <cp:lastModifiedBy>WPS_1543404155</cp:lastModifiedBy>
  <dcterms:modified xsi:type="dcterms:W3CDTF">2020-07-15T08:59:50Z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