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outlineLvl w:val="9"/>
        <w:rPr>
          <w:rStyle w:val="6"/>
          <w:rFonts w:hint="eastAsia" w:ascii="黑体" w:hAnsi="黑体" w:eastAsia="黑体" w:cs="黑体"/>
          <w:b w:val="0"/>
          <w:bCs/>
          <w:color w:val="auto"/>
          <w:spacing w:val="15"/>
          <w:sz w:val="32"/>
          <w:szCs w:val="32"/>
          <w:shd w:val="clear" w:fill="FFFFFF"/>
          <w:lang w:val="en-US" w:eastAsia="zh-CN"/>
        </w:rPr>
      </w:pPr>
      <w:r>
        <w:rPr>
          <w:rStyle w:val="6"/>
          <w:rFonts w:hint="eastAsia" w:ascii="黑体" w:hAnsi="黑体" w:eastAsia="黑体" w:cs="黑体"/>
          <w:b w:val="0"/>
          <w:bCs/>
          <w:color w:val="auto"/>
          <w:spacing w:val="15"/>
          <w:sz w:val="32"/>
          <w:szCs w:val="32"/>
          <w:shd w:val="clear" w:fill="FFFFFF"/>
        </w:rPr>
        <w:t>附件</w:t>
      </w:r>
      <w:r>
        <w:rPr>
          <w:rStyle w:val="6"/>
          <w:rFonts w:hint="eastAsia" w:ascii="黑体" w:hAnsi="黑体" w:eastAsia="黑体" w:cs="黑体"/>
          <w:b w:val="0"/>
          <w:bCs/>
          <w:color w:val="auto"/>
          <w:spacing w:val="15"/>
          <w:sz w:val="32"/>
          <w:szCs w:val="32"/>
          <w:shd w:val="clear" w:fill="FFFFFF"/>
          <w:lang w:val="en-US" w:eastAsia="zh-CN"/>
        </w:rPr>
        <w:t>1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/>
        <w:jc w:val="both"/>
        <w:textAlignment w:val="auto"/>
        <w:outlineLvl w:val="9"/>
        <w:rPr>
          <w:rStyle w:val="6"/>
          <w:rFonts w:hint="eastAsia" w:ascii="黑体" w:hAnsi="黑体" w:eastAsia="黑体" w:cs="黑体"/>
          <w:b w:val="0"/>
          <w:bCs/>
          <w:color w:val="auto"/>
          <w:spacing w:val="15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302" w:beforeAutospacing="0" w:after="0" w:afterAutospacing="0" w:line="560" w:lineRule="exact"/>
        <w:ind w:left="0" w:right="0"/>
        <w:jc w:val="center"/>
        <w:textAlignment w:val="auto"/>
        <w:outlineLvl w:val="9"/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auto"/>
          <w:spacing w:val="15"/>
          <w:sz w:val="44"/>
          <w:szCs w:val="44"/>
          <w:shd w:val="clear" w:fill="FFFFFF"/>
        </w:rPr>
      </w:pPr>
      <w:r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auto"/>
          <w:spacing w:val="15"/>
          <w:sz w:val="44"/>
          <w:szCs w:val="44"/>
          <w:shd w:val="clear" w:fill="FFFFFF"/>
        </w:rPr>
        <w:t>市场调研品目、配置及功能需求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80" w:lineRule="exact"/>
        <w:ind w:left="0" w:right="0"/>
        <w:jc w:val="center"/>
        <w:textAlignment w:val="auto"/>
        <w:outlineLvl w:val="9"/>
        <w:rPr>
          <w:rStyle w:val="6"/>
          <w:rFonts w:hint="eastAsia" w:ascii="方正小标宋简体" w:hAnsi="方正小标宋简体" w:eastAsia="方正小标宋简体" w:cs="方正小标宋简体"/>
          <w:b w:val="0"/>
          <w:bCs/>
          <w:color w:val="auto"/>
          <w:spacing w:val="15"/>
          <w:sz w:val="44"/>
          <w:szCs w:val="44"/>
          <w:shd w:val="clear" w:fill="FFFFFF"/>
        </w:rPr>
      </w:pP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一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碳钢妇科检查床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规格：1250×700×750mm；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材质碳钢喷塑，主架立柱采用圆管，左侧配置三抽柜一个，抽屉滑槽采用高级三折静音滑槽。配置可旋转污物桶一个。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管壁厚度≥1.2mm，板材厚度≥1.2mm，承重≥250Kg；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配520*340*220脚踏凳一个，脚踏凳带防滑垫；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配12cm高密度海绵床垫。</w:t>
      </w:r>
    </w:p>
    <w:p>
      <w:pPr>
        <w:pStyle w:val="12"/>
        <w:ind w:left="840" w:firstLine="0" w:firstLineChars="0"/>
        <w:rPr>
          <w:rFonts w:hint="eastAsia" w:ascii="新宋体" w:hAnsi="新宋体" w:eastAsia="新宋体"/>
          <w:sz w:val="24"/>
          <w:szCs w:val="24"/>
        </w:rPr>
      </w:pP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jc w:val="center"/>
        <w:textAlignment w:val="auto"/>
        <w:outlineLvl w:val="9"/>
        <w:rPr>
          <w:rFonts w:hint="eastAsia" w:ascii="新宋体" w:hAnsi="新宋体" w:eastAsia="新宋体"/>
          <w:sz w:val="24"/>
          <w:szCs w:val="24"/>
        </w:rPr>
      </w:pPr>
      <w:r>
        <w:rPr>
          <w:rFonts w:hint="eastAsia" w:ascii="新宋体" w:hAnsi="新宋体" w:eastAsia="新宋体"/>
          <w:sz w:val="24"/>
          <w:szCs w:val="24"/>
          <w:lang w:eastAsia="zh-CN"/>
        </w:rPr>
        <w:drawing>
          <wp:inline distT="0" distB="0" distL="114300" distR="114300">
            <wp:extent cx="4887595" cy="3522980"/>
            <wp:effectExtent l="0" t="0" r="4445" b="12700"/>
            <wp:docPr id="5" name="图片 5" descr="微信图片_20200727170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0072717003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87595" cy="3522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/>
          <w:bCs/>
          <w:kern w:val="2"/>
          <w:sz w:val="32"/>
          <w:szCs w:val="32"/>
          <w:lang w:val="en-US" w:eastAsia="zh-CN" w:bidi="ar-SA"/>
        </w:rPr>
        <w:t>二、不锈钢手术凳</w:t>
      </w:r>
    </w:p>
    <w:p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0" w:firstLine="640" w:firstLineChars="200"/>
        <w:textAlignment w:val="auto"/>
        <w:outlineLvl w:val="9"/>
        <w:rPr>
          <w:rStyle w:val="11"/>
          <w:rFonts w:hint="eastAsia" w:ascii="仿宋_GB2312" w:hAnsi="仿宋_GB2312" w:eastAsia="仿宋_GB2312" w:cs="仿宋_GB2312"/>
          <w:b w:val="0"/>
          <w:sz w:val="21"/>
          <w:szCs w:val="21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不锈钢手术凳F型 外形尺寸：380*450～530mm  材质：304不锈钢，液压升降，优质静音轮，使用人造皮坐垫，舒适耐用。</w:t>
      </w:r>
    </w:p>
    <w:p>
      <w:pPr>
        <w:pStyle w:val="10"/>
        <w:jc w:val="center"/>
        <w:rPr>
          <w:rFonts w:hint="eastAsia" w:ascii="新宋体" w:hAnsi="新宋体" w:eastAsia="新宋体"/>
          <w:sz w:val="24"/>
          <w:szCs w:val="24"/>
          <w:lang w:val="en-US" w:eastAsia="zh-CN"/>
        </w:rPr>
      </w:pPr>
      <w:r>
        <w:rPr>
          <w:rFonts w:ascii="新宋体" w:hAnsi="新宋体" w:eastAsia="新宋体"/>
          <w:sz w:val="24"/>
          <w:szCs w:val="24"/>
        </w:rPr>
        <w:drawing>
          <wp:inline distT="0" distB="0" distL="0" distR="0">
            <wp:extent cx="3093720" cy="2488565"/>
            <wp:effectExtent l="0" t="0" r="11430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93720" cy="2488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kern w:val="2"/>
          <w:sz w:val="32"/>
          <w:szCs w:val="32"/>
          <w:lang w:val="en-US" w:eastAsia="zh-CN" w:bidi="ar-SA"/>
        </w:rPr>
      </w:pP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textAlignment w:val="auto"/>
        <w:outlineLvl w:val="9"/>
        <w:rPr>
          <w:rFonts w:hint="eastAsia" w:ascii="黑体" w:hAnsi="黑体" w:eastAsia="黑体" w:cs="黑体"/>
          <w:b/>
          <w:sz w:val="24"/>
          <w:szCs w:val="24"/>
        </w:rPr>
      </w:pPr>
      <w:r>
        <w:rPr>
          <w:rFonts w:hint="eastAsia" w:ascii="黑体" w:hAnsi="黑体" w:eastAsia="黑体" w:cs="黑体"/>
          <w:b/>
          <w:bCs/>
          <w:kern w:val="2"/>
          <w:sz w:val="32"/>
          <w:szCs w:val="32"/>
          <w:lang w:val="en-US" w:eastAsia="zh-CN" w:bidi="ar-SA"/>
        </w:rPr>
        <w:t>三、不锈钢踏脚凳不锈钢脚踏凳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21"/>
          <w:szCs w:val="21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外形尺寸：450*340*150mm  材质：304不锈钢 ，平面防滑材质， 安全牢固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outlineLvl w:val="9"/>
        <w:rPr>
          <w:rFonts w:hint="eastAsia" w:ascii="新宋体" w:hAnsi="新宋体" w:eastAsia="新宋体"/>
          <w:sz w:val="24"/>
          <w:szCs w:val="24"/>
        </w:rPr>
      </w:pPr>
      <w:r>
        <w:rPr>
          <w:rFonts w:ascii="新宋体" w:hAnsi="新宋体" w:eastAsia="新宋体"/>
          <w:sz w:val="24"/>
          <w:szCs w:val="24"/>
        </w:rPr>
        <w:drawing>
          <wp:inline distT="0" distB="0" distL="0" distR="0">
            <wp:extent cx="3589020" cy="2607310"/>
            <wp:effectExtent l="0" t="0" r="11430" b="254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89020" cy="2607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ind w:left="360"/>
        <w:rPr>
          <w:rFonts w:hint="eastAsia" w:ascii="新宋体" w:hAnsi="新宋体" w:eastAsia="新宋体"/>
          <w:sz w:val="24"/>
          <w:szCs w:val="24"/>
        </w:rPr>
      </w:pPr>
    </w:p>
    <w:p>
      <w:pPr>
        <w:rPr>
          <w:rFonts w:hint="eastAsia" w:ascii="新宋体" w:hAnsi="新宋体" w:eastAsia="新宋体"/>
          <w:sz w:val="24"/>
          <w:szCs w:val="24"/>
        </w:rPr>
      </w:pP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四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不锈钢踏脚凳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外形尺寸：530*600*165/345mm  材质：304不锈钢，上下两层，平面防滑材质，安全牢固  </w:t>
      </w:r>
    </w:p>
    <w:p>
      <w:pPr>
        <w:jc w:val="center"/>
        <w:rPr>
          <w:rFonts w:hint="eastAsia" w:ascii="新宋体" w:hAnsi="新宋体" w:eastAsia="新宋体"/>
          <w:sz w:val="24"/>
          <w:szCs w:val="24"/>
        </w:rPr>
      </w:pPr>
      <w:r>
        <w:rPr>
          <w:rFonts w:hint="eastAsia" w:ascii="新宋体" w:hAnsi="新宋体" w:eastAsia="新宋体"/>
          <w:sz w:val="24"/>
          <w:szCs w:val="24"/>
        </w:rPr>
        <w:drawing>
          <wp:inline distT="0" distB="0" distL="0" distR="0">
            <wp:extent cx="3417570" cy="2533650"/>
            <wp:effectExtent l="0" t="0" r="1143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17570" cy="253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outlineLvl w:val="9"/>
        <w:rPr>
          <w:rFonts w:hint="eastAsia" w:ascii="黑体" w:hAnsi="黑体" w:eastAsia="黑体" w:cs="黑体"/>
          <w:b/>
          <w:bCs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21"/>
          <w:szCs w:val="21"/>
        </w:rPr>
      </w:pPr>
      <w:r>
        <w:rPr>
          <w:rFonts w:hint="eastAsia" w:ascii="黑体" w:hAnsi="黑体" w:eastAsia="黑体" w:cs="黑体"/>
          <w:b/>
          <w:bCs/>
          <w:kern w:val="2"/>
          <w:sz w:val="32"/>
          <w:szCs w:val="32"/>
          <w:lang w:val="en-US" w:eastAsia="zh-CN" w:bidi="ar-SA"/>
        </w:rPr>
        <w:t>五、不锈钢双层器械台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规格：600*430*850mm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 台面采用优质不锈钢冷轧板精制而成，台面有效使用部分采用模具一次冲压成型。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 四周的4只支撑立柱采用φ25×1.0优质不锈钢管制作，外型美观。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 配置4只φ75高性能聚氨酯脚轮，坚固耐用，其中两个带刹，推动平稳灵活，制动稳定可靠。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 上下台面配置三面（左、右及后面）护栏，采用不锈钢圆管精制而成。（防止小件物品滑落）</w:t>
      </w:r>
    </w:p>
    <w:p>
      <w:pPr>
        <w:rPr>
          <w:rFonts w:hint="eastAsia"/>
        </w:rPr>
      </w:pPr>
    </w:p>
    <w:p>
      <w:pPr>
        <w:jc w:val="center"/>
        <w:rPr>
          <w:rFonts w:hint="eastAsia"/>
        </w:rPr>
      </w:pPr>
      <w:r>
        <w:drawing>
          <wp:inline distT="0" distB="0" distL="0" distR="0">
            <wp:extent cx="2162175" cy="2133600"/>
            <wp:effectExtent l="0" t="0" r="9525" b="0"/>
            <wp:docPr id="1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新宋体" w:hAnsi="新宋体" w:eastAsia="新宋体"/>
          <w:sz w:val="24"/>
          <w:szCs w:val="24"/>
        </w:rPr>
      </w:pP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六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不锈钢器械套车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 规格：大号：930*530*950mm，中号：740*450*530mm，小号：600*400*780mm；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 推车台面采用厚度为1.0mm 304不锈钢冷轧板折弯后组焊而成。表面经抗指纹磨砂处理；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 大号推车上台面三方（左右及后方）带不锈钢围栏，小号推车带下台面，下台面三方（左右及后方）带不锈钢围栏，围栏采用不锈钢圆条精制而成并配有塑钢立柱；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 单车配置4只3寸人造橡胶静音脚轮，外罩包ABS防缠绕；其中2只脚轮配置刹车，可在任意状态下使用刹车功能。</w:t>
      </w:r>
    </w:p>
    <w:p>
      <w:pPr>
        <w:pStyle w:val="3"/>
        <w:rPr>
          <w:rFonts w:hint="eastAsia" w:ascii="仿宋_GB2312" w:hAnsi="仿宋_GB2312" w:eastAsia="仿宋_GB2312" w:cs="仿宋_GB2312"/>
          <w:sz w:val="21"/>
          <w:szCs w:val="21"/>
        </w:rPr>
      </w:pPr>
    </w:p>
    <w:p>
      <w:pPr>
        <w:pStyle w:val="3"/>
        <w:jc w:val="center"/>
        <w:rPr>
          <w:rFonts w:hint="eastAsia"/>
        </w:rPr>
      </w:pPr>
      <w:r>
        <w:rPr>
          <w:rFonts w:hint="eastAsia"/>
        </w:rPr>
        <w:drawing>
          <wp:inline distT="0" distB="0" distL="0" distR="0">
            <wp:extent cx="2124075" cy="1866900"/>
            <wp:effectExtent l="0" t="0" r="9525" b="762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24075" cy="186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</w:rPr>
      </w:pP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七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运转车单列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规格：670mm*430mm*1200mm；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运转车主架采用30*34*1.2mm阳极氧化铝型材焊接而成，阳极氧化铝型材具有抗氧化、美观、易清洁等功能；运转车立柱带活动挂孔，可以任意调节每层之间的间距及角度；滑道采用金属滑道，单层承重达到40Kg；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▲整车配置六层单列ABS周转筐，其中两只小号周转筐、三只中号周转筐，一只大号周转筐，塑料周转筐承重≥60KG；周转筐内配置ABS隔断，用户可根据需要进行平均分隔或异型分隔，配置标准的标识牌，可对每一分隔进行标识，实现物品放置分类明确、标识明确。提升药品存放量，改善医院形象。</w:t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整车配置4只4寸丝杆单片空心轮，外罩包ABS防缠绕，坚固耐用，外表美观；其中2只脚轮配置刹车，可在任意状态下使用刹车功能。</w:t>
      </w:r>
    </w:p>
    <w:p>
      <w:pPr>
        <w:jc w:val="left"/>
        <w:rPr>
          <w:rFonts w:hint="eastAsia" w:ascii="宋体" w:hAnsi="宋体"/>
          <w:szCs w:val="21"/>
        </w:rPr>
      </w:pPr>
    </w:p>
    <w:p>
      <w:pPr>
        <w:jc w:val="center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drawing>
          <wp:inline distT="0" distB="0" distL="0" distR="0">
            <wp:extent cx="1866900" cy="2124075"/>
            <wp:effectExtent l="0" t="0" r="0" b="952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66900" cy="212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</w:rPr>
      </w:pPr>
    </w:p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firstLine="643" w:firstLineChars="200"/>
        <w:textAlignment w:val="auto"/>
        <w:outlineLvl w:val="9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八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不锈钢双杠托盘架</w:t>
      </w:r>
    </w:p>
    <w:p>
      <w:pPr>
        <w:pStyle w:val="1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>规格620*420*(800-1200)mm；</w:t>
      </w:r>
    </w:p>
    <w:p>
      <w:pPr>
        <w:pStyle w:val="1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该产品配置不锈钢手术托盘一只，采用304不锈钢板材精制而成；</w:t>
      </w:r>
    </w:p>
    <w:p>
      <w:pPr>
        <w:pStyle w:val="1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3.托盘主支撑架管采用Φ32*1.2的不锈钢圆管精制而成，强度大，坚固耐用。底架采用Φ32*1.2的不锈钢圆管弯制而成，外型美观。</w:t>
      </w:r>
    </w:p>
    <w:p>
      <w:pPr>
        <w:pStyle w:val="1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4.托盘活动支架采用Φ22*1.2的不锈钢圆管精制而成，托盘下方采用13*25*1.0不锈钢矩管作边框，托盘可自由取动，体现人性化设计；</w:t>
      </w:r>
    </w:p>
    <w:p>
      <w:pPr>
        <w:pStyle w:val="1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5.托盘离地高度可在850至1200范围内任意调节，采用梅花手柄作为锁紧装置，可随意锁紧，安全可靠；</w:t>
      </w:r>
    </w:p>
    <w:p>
      <w:pPr>
        <w:pStyle w:val="1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6.配4只3寸高级人造橡胶静音脚轮，坚固耐用，外表美观；其中2只脚轮配置刹车，可在任意状态下使用刹车功能。</w:t>
      </w:r>
    </w:p>
    <w:p>
      <w:pPr>
        <w:pStyle w:val="12"/>
        <w:numPr>
          <w:ilvl w:val="0"/>
          <w:numId w:val="0"/>
        </w:numPr>
        <w:jc w:val="center"/>
        <w:rPr>
          <w:rFonts w:hint="eastAsia" w:ascii="新宋体" w:hAnsi="新宋体" w:eastAsia="新宋体"/>
          <w:sz w:val="24"/>
          <w:szCs w:val="24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新宋体" w:hAnsi="新宋体" w:eastAsia="新宋体"/>
          <w:sz w:val="24"/>
          <w:szCs w:val="24"/>
          <w:lang w:eastAsia="zh-CN"/>
        </w:rPr>
        <w:drawing>
          <wp:inline distT="0" distB="0" distL="114300" distR="114300">
            <wp:extent cx="3228340" cy="3761740"/>
            <wp:effectExtent l="0" t="0" r="10160" b="10160"/>
            <wp:docPr id="2" name="图片 2" descr="微信图片_202007271658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0072716581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228340" cy="3761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</w:rPr>
        <w:t>报价一览表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4"/>
          <w:szCs w:val="44"/>
        </w:rPr>
      </w:pPr>
    </w:p>
    <w:tbl>
      <w:tblPr>
        <w:tblStyle w:val="9"/>
        <w:tblW w:w="852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1"/>
        <w:gridCol w:w="705"/>
        <w:gridCol w:w="861"/>
        <w:gridCol w:w="617"/>
        <w:gridCol w:w="808"/>
        <w:gridCol w:w="663"/>
        <w:gridCol w:w="936"/>
        <w:gridCol w:w="2123"/>
        <w:gridCol w:w="128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52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7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产品</w:t>
            </w:r>
          </w:p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86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生产</w:t>
            </w:r>
          </w:p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厂家</w:t>
            </w:r>
          </w:p>
        </w:tc>
        <w:tc>
          <w:tcPr>
            <w:tcW w:w="61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品牌</w:t>
            </w:r>
          </w:p>
        </w:tc>
        <w:tc>
          <w:tcPr>
            <w:tcW w:w="8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规格</w:t>
            </w:r>
          </w:p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型号</w:t>
            </w:r>
          </w:p>
        </w:tc>
        <w:tc>
          <w:tcPr>
            <w:tcW w:w="66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单位</w:t>
            </w:r>
          </w:p>
        </w:tc>
        <w:tc>
          <w:tcPr>
            <w:tcW w:w="9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报价</w:t>
            </w:r>
          </w:p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（元）</w:t>
            </w:r>
          </w:p>
        </w:tc>
        <w:tc>
          <w:tcPr>
            <w:tcW w:w="212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配送企业名称</w:t>
            </w:r>
          </w:p>
        </w:tc>
        <w:tc>
          <w:tcPr>
            <w:tcW w:w="12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52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52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52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66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1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400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/>
        <w:jc w:val="left"/>
        <w:textAlignment w:val="auto"/>
        <w:rPr>
          <w:rFonts w:ascii="宋体" w:hAnsi="宋体" w:cs="宋体"/>
          <w:kern w:val="0"/>
          <w:sz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公司名称：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代表签字：联系方式：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日期：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left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</w:rPr>
        <w:t>附件3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kern w:val="0"/>
          <w:sz w:val="44"/>
          <w:szCs w:val="44"/>
        </w:rPr>
        <w:t>用户情况表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color w:val="000000"/>
          <w:kern w:val="0"/>
          <w:sz w:val="44"/>
          <w:szCs w:val="44"/>
          <w:lang w:val="en-US" w:eastAsia="zh-CN"/>
        </w:rPr>
      </w:pPr>
    </w:p>
    <w:tbl>
      <w:tblPr>
        <w:tblStyle w:val="9"/>
        <w:tblpPr w:leftFromText="180" w:rightFromText="180" w:vertAnchor="text" w:horzAnchor="page" w:tblpXSpec="center" w:tblpY="63"/>
        <w:tblW w:w="10022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0"/>
        <w:gridCol w:w="1276"/>
        <w:gridCol w:w="992"/>
        <w:gridCol w:w="709"/>
        <w:gridCol w:w="1559"/>
        <w:gridCol w:w="1418"/>
        <w:gridCol w:w="1984"/>
        <w:gridCol w:w="1134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95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省外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用户</w:t>
            </w:r>
          </w:p>
        </w:tc>
        <w:tc>
          <w:tcPr>
            <w:tcW w:w="127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用户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99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规格型号</w:t>
            </w:r>
          </w:p>
        </w:tc>
        <w:tc>
          <w:tcPr>
            <w:tcW w:w="70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数量</w:t>
            </w:r>
          </w:p>
        </w:tc>
        <w:tc>
          <w:tcPr>
            <w:tcW w:w="155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合同价格或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中标价格</w:t>
            </w:r>
          </w:p>
        </w:tc>
        <w:tc>
          <w:tcPr>
            <w:tcW w:w="141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使用时间或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中标时间</w:t>
            </w:r>
          </w:p>
        </w:tc>
        <w:tc>
          <w:tcPr>
            <w:tcW w:w="19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联系人及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联系方式</w:t>
            </w:r>
          </w:p>
        </w:tc>
        <w:tc>
          <w:tcPr>
            <w:tcW w:w="113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95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95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95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95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95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95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 w:hRule="atLeast"/>
          <w:jc w:val="center"/>
        </w:trPr>
        <w:tc>
          <w:tcPr>
            <w:tcW w:w="950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105" w:lineRule="atLeast"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省内</w:t>
            </w:r>
          </w:p>
          <w:p>
            <w:pPr>
              <w:widowControl/>
              <w:spacing w:line="105" w:lineRule="atLeas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用户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 w:hRule="atLeast"/>
          <w:jc w:val="center"/>
        </w:trPr>
        <w:tc>
          <w:tcPr>
            <w:tcW w:w="95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 w:hRule="atLeast"/>
          <w:jc w:val="center"/>
        </w:trPr>
        <w:tc>
          <w:tcPr>
            <w:tcW w:w="95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 w:hRule="atLeast"/>
          <w:jc w:val="center"/>
        </w:trPr>
        <w:tc>
          <w:tcPr>
            <w:tcW w:w="95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 w:hRule="atLeast"/>
          <w:jc w:val="center"/>
        </w:trPr>
        <w:tc>
          <w:tcPr>
            <w:tcW w:w="95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" w:hRule="atLeast"/>
          <w:jc w:val="center"/>
        </w:trPr>
        <w:tc>
          <w:tcPr>
            <w:tcW w:w="950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spacing w:line="105" w:lineRule="atLeas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说明：1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表中产品为近三年销售，用户仍在使用的货物；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40" w:firstLineChars="300"/>
        <w:jc w:val="both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只填写与本次市场调研产品一致或相当的规格型号。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40" w:firstLineChars="300"/>
        <w:jc w:val="both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</w:rPr>
        <w:t>需附近三年销售合同价格或中标价格等佐证复印材料</w:t>
      </w:r>
      <w:r>
        <w:rPr>
          <w:rFonts w:hint="eastAsia" w:ascii="仿宋_GB2312" w:hAnsi="仿宋_GB2312" w:eastAsia="仿宋_GB2312" w:cs="仿宋_GB2312"/>
          <w:color w:val="000000"/>
          <w:kern w:val="0"/>
          <w:sz w:val="28"/>
          <w:szCs w:val="28"/>
          <w:lang w:eastAsia="zh-CN"/>
        </w:rPr>
        <w:t>。</w:t>
      </w:r>
    </w:p>
    <w:p/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8" w:lineRule="atLeast"/>
        <w:ind w:left="0" w:right="0"/>
        <w:jc w:val="center"/>
        <w:rPr>
          <w:color w:val="auto"/>
          <w:sz w:val="21"/>
          <w:szCs w:val="21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78" w:lineRule="atLeast"/>
        <w:ind w:left="0" w:right="0"/>
        <w:jc w:val="center"/>
        <w:rPr>
          <w:color w:val="auto"/>
          <w:sz w:val="21"/>
          <w:szCs w:val="21"/>
        </w:rPr>
      </w:pPr>
    </w:p>
    <w:p/>
    <w:p>
      <w:pPr>
        <w:pStyle w:val="12"/>
        <w:numPr>
          <w:ilvl w:val="0"/>
          <w:numId w:val="0"/>
        </w:numPr>
        <w:jc w:val="both"/>
        <w:rPr>
          <w:rFonts w:hint="eastAsia" w:ascii="新宋体" w:hAnsi="新宋体" w:eastAsia="新宋体"/>
          <w:sz w:val="24"/>
          <w:szCs w:val="2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DD6FE5"/>
    <w:rsid w:val="229225E0"/>
    <w:rsid w:val="36DD6FE5"/>
    <w:rsid w:val="599156B1"/>
    <w:rsid w:val="7E9F50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5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widowControl/>
      <w:spacing w:line="360" w:lineRule="auto"/>
    </w:pPr>
    <w:rPr>
      <w:rFonts w:ascii="Times New Roman" w:hAnsi="Times New Roman" w:eastAsia="宋体" w:cs="Times New Roman"/>
      <w:color w:val="FF0000"/>
      <w:szCs w:val="20"/>
    </w:rPr>
  </w:style>
  <w:style w:type="paragraph" w:styleId="4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qFormat/>
    <w:uiPriority w:val="0"/>
    <w:rPr>
      <w:color w:val="800080"/>
      <w:u w:val="none"/>
    </w:rPr>
  </w:style>
  <w:style w:type="character" w:styleId="8">
    <w:name w:val="Hyperlink"/>
    <w:basedOn w:val="5"/>
    <w:qFormat/>
    <w:uiPriority w:val="0"/>
    <w:rPr>
      <w:color w:val="0000FF"/>
      <w:u w:val="none"/>
    </w:rPr>
  </w:style>
  <w:style w:type="paragraph" w:customStyle="1" w:styleId="10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customStyle="1" w:styleId="11">
    <w:name w:val="标题 1 Char"/>
    <w:basedOn w:val="5"/>
    <w:link w:val="2"/>
    <w:qFormat/>
    <w:uiPriority w:val="9"/>
    <w:rPr>
      <w:b/>
      <w:bCs/>
      <w:kern w:val="44"/>
      <w:sz w:val="44"/>
      <w:szCs w:val="44"/>
    </w:rPr>
  </w:style>
  <w:style w:type="paragraph" w:customStyle="1" w:styleId="12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2020-07-27T10:32:00Z</dcterms:created>
  <dc:creator>Administrator</dc:creator>
  <cp:lastModifiedBy>Lucy</cp:lastModifiedBy>
  <dcterms:modified xsi:type="dcterms:W3CDTF">2020-07-27T15:05:35Z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